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bCs/>
          <w:color w:val="000000"/>
          <w:sz w:val="44"/>
          <w:szCs w:val="44"/>
        </w:rPr>
      </w:pPr>
      <w:bookmarkStart w:id="0" w:name="_GoBack"/>
      <w:bookmarkEnd w:id="0"/>
    </w:p>
    <w:p>
      <w:pPr>
        <w:spacing w:line="600" w:lineRule="exact"/>
        <w:jc w:val="center"/>
        <w:rPr>
          <w:rFonts w:hint="eastAsia" w:ascii="方正小标宋简体" w:eastAsia="方正小标宋简体"/>
          <w:bCs/>
          <w:color w:val="000000"/>
          <w:sz w:val="44"/>
          <w:szCs w:val="44"/>
        </w:rPr>
      </w:pPr>
    </w:p>
    <w:p>
      <w:pPr>
        <w:spacing w:line="600" w:lineRule="exact"/>
        <w:jc w:val="both"/>
        <w:rPr>
          <w:rFonts w:hint="eastAsia" w:ascii="方正小标宋简体" w:eastAsia="方正小标宋简体"/>
          <w:bCs/>
          <w:color w:val="000000"/>
          <w:sz w:val="44"/>
          <w:szCs w:val="44"/>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column">
                  <wp:posOffset>-317500</wp:posOffset>
                </wp:positionH>
                <wp:positionV relativeFrom="page">
                  <wp:posOffset>1033780</wp:posOffset>
                </wp:positionV>
                <wp:extent cx="6079490" cy="1090930"/>
                <wp:effectExtent l="0" t="0" r="0" b="0"/>
                <wp:wrapNone/>
                <wp:docPr id="3" name="矩形 3"/>
                <wp:cNvGraphicFramePr/>
                <a:graphic xmlns:a="http://schemas.openxmlformats.org/drawingml/2006/main">
                  <a:graphicData uri="http://schemas.microsoft.com/office/word/2010/wordprocessingShape">
                    <wps:wsp>
                      <wps:cNvSpPr/>
                      <wps:spPr>
                        <a:xfrm>
                          <a:off x="0" y="0"/>
                          <a:ext cx="6079490" cy="1090930"/>
                        </a:xfrm>
                        <a:prstGeom prst="rect">
                          <a:avLst/>
                        </a:prstGeom>
                        <a:noFill/>
                        <a:ln>
                          <a:noFill/>
                        </a:ln>
                      </wps:spPr>
                      <wps:txbx>
                        <w:txbxContent>
                          <w:tbl>
                            <w:tblPr>
                              <w:tblStyle w:val="6"/>
                              <w:tblpPr w:leftFromText="180" w:rightFromText="180" w:vertAnchor="text" w:horzAnchor="page" w:tblpXSpec="center" w:tblpY="44"/>
                              <w:tblOverlap w:val="never"/>
                              <w:tblW w:w="0" w:type="auto"/>
                              <w:jc w:val="center"/>
                              <w:tblBorders>
                                <w:top w:val="none" w:color="auto" w:sz="0" w:space="0"/>
                                <w:left w:val="none" w:color="auto" w:sz="0" w:space="0"/>
                                <w:bottom w:val="thickThinSmallGap" w:color="FF0000" w:sz="24" w:space="0"/>
                                <w:right w:val="none" w:color="auto" w:sz="0"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8880"/>
                            </w:tblGrid>
                            <w:tr>
                              <w:tblPrEx>
                                <w:tblBorders>
                                  <w:top w:val="none" w:color="auto" w:sz="0" w:space="0"/>
                                  <w:left w:val="none" w:color="auto" w:sz="0" w:space="0"/>
                                  <w:bottom w:val="thickThinSmallGap" w:color="FF0000" w:sz="24" w:space="0"/>
                                  <w:right w:val="none" w:color="auto" w:sz="0" w:space="0"/>
                                  <w:insideH w:val="thinThickSmallGap" w:color="auto" w:sz="24" w:space="0"/>
                                  <w:insideV w:val="thinThickSmallGap" w:color="auto" w:sz="24" w:space="0"/>
                                </w:tblBorders>
                                <w:tblCellMar>
                                  <w:top w:w="0" w:type="dxa"/>
                                  <w:left w:w="108" w:type="dxa"/>
                                  <w:bottom w:w="0" w:type="dxa"/>
                                  <w:right w:w="108" w:type="dxa"/>
                                </w:tblCellMar>
                              </w:tblPrEx>
                              <w:trPr>
                                <w:trHeight w:val="1083" w:hRule="atLeast"/>
                                <w:jc w:val="center"/>
                              </w:trPr>
                              <w:tc>
                                <w:tcPr>
                                  <w:tcW w:w="8880" w:type="dxa"/>
                                  <w:tcBorders>
                                    <w:bottom w:val="thinThickSmallGap" w:color="FF0000" w:sz="24" w:space="0"/>
                                  </w:tcBorders>
                                </w:tcPr>
                                <w:p>
                                  <w:pPr>
                                    <w:jc w:val="both"/>
                                    <w:rPr>
                                      <w:rFonts w:hint="eastAsia" w:ascii="Calibri" w:hAnsi="Calibri" w:eastAsia="宋体"/>
                                      <w:b/>
                                      <w:color w:val="FF0000"/>
                                      <w:spacing w:val="-30"/>
                                      <w:sz w:val="88"/>
                                      <w:szCs w:val="88"/>
                                      <w:lang w:eastAsia="zh-CN"/>
                                    </w:rPr>
                                  </w:pPr>
                                  <w:r>
                                    <w:rPr>
                                      <w:rFonts w:hint="eastAsia" w:ascii="Calibri" w:hAnsi="Calibri"/>
                                      <w:b/>
                                      <w:color w:val="FF0000"/>
                                      <w:spacing w:val="-30"/>
                                      <w:sz w:val="72"/>
                                      <w:szCs w:val="72"/>
                                      <w:lang w:eastAsia="zh-CN"/>
                                    </w:rPr>
                                    <w:t>湖南信息学院学生工作处（部）</w:t>
                                  </w:r>
                                </w:p>
                              </w:tc>
                            </w:tr>
                          </w:tbl>
                          <w:p/>
                        </w:txbxContent>
                      </wps:txbx>
                      <wps:bodyPr upright="1"/>
                    </wps:wsp>
                  </a:graphicData>
                </a:graphic>
              </wp:anchor>
            </w:drawing>
          </mc:Choice>
          <mc:Fallback>
            <w:pict>
              <v:rect id="_x0000_s1026" o:spid="_x0000_s1026" o:spt="1" style="position:absolute;left:0pt;margin-left:-25pt;margin-top:81.4pt;height:85.9pt;width:478.7pt;mso-position-vertical-relative:page;z-index:251659264;mso-width-relative:page;mso-height-relative:page;" filled="f" stroked="f" coordsize="21600,21600" o:gfxdata="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HlTmJ9wAAAALAQAA&#10;DwAAAAAAAAABACAAAAAiAAAAZHJzL2Rvd25yZXYueG1sUEsBAhQAFAAAAAgAh07iQB96MTyjAQAA&#10;QgMAAA4AAAAAAAAAAQAgAAAAKwEAAGRycy9lMm9Eb2MueG1sUEsFBgAAAAAGAAYAWQEAAEAFAAAA&#10;AA==&#10;">
                <v:fill on="f" focussize="0,0"/>
                <v:stroke on="f"/>
                <v:imagedata o:title=""/>
                <o:lock v:ext="edit" aspectratio="f"/>
                <v:textbox>
                  <w:txbxContent>
                    <w:tbl>
                      <w:tblPr>
                        <w:tblStyle w:val="6"/>
                        <w:tblpPr w:leftFromText="180" w:rightFromText="180" w:vertAnchor="text" w:horzAnchor="page" w:tblpXSpec="center" w:tblpY="44"/>
                        <w:tblOverlap w:val="never"/>
                        <w:tblW w:w="0" w:type="auto"/>
                        <w:jc w:val="center"/>
                        <w:tblBorders>
                          <w:top w:val="none" w:color="auto" w:sz="0" w:space="0"/>
                          <w:left w:val="none" w:color="auto" w:sz="0" w:space="0"/>
                          <w:bottom w:val="thickThinSmallGap" w:color="FF0000" w:sz="24" w:space="0"/>
                          <w:right w:val="none" w:color="auto" w:sz="0"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8880"/>
                      </w:tblGrid>
                      <w:tr>
                        <w:tblPrEx>
                          <w:tblBorders>
                            <w:top w:val="none" w:color="auto" w:sz="0" w:space="0"/>
                            <w:left w:val="none" w:color="auto" w:sz="0" w:space="0"/>
                            <w:bottom w:val="thickThinSmallGap" w:color="FF0000" w:sz="24" w:space="0"/>
                            <w:right w:val="none" w:color="auto" w:sz="0" w:space="0"/>
                            <w:insideH w:val="thinThickSmallGap" w:color="auto" w:sz="24" w:space="0"/>
                            <w:insideV w:val="thinThickSmallGap" w:color="auto" w:sz="24" w:space="0"/>
                          </w:tblBorders>
                          <w:tblCellMar>
                            <w:top w:w="0" w:type="dxa"/>
                            <w:left w:w="108" w:type="dxa"/>
                            <w:bottom w:w="0" w:type="dxa"/>
                            <w:right w:w="108" w:type="dxa"/>
                          </w:tblCellMar>
                        </w:tblPrEx>
                        <w:trPr>
                          <w:trHeight w:val="1083" w:hRule="atLeast"/>
                          <w:jc w:val="center"/>
                        </w:trPr>
                        <w:tc>
                          <w:tcPr>
                            <w:tcW w:w="8880" w:type="dxa"/>
                            <w:tcBorders>
                              <w:bottom w:val="thinThickSmallGap" w:color="FF0000" w:sz="24" w:space="0"/>
                            </w:tcBorders>
                          </w:tcPr>
                          <w:p>
                            <w:pPr>
                              <w:jc w:val="both"/>
                              <w:rPr>
                                <w:rFonts w:hint="eastAsia" w:ascii="Calibri" w:hAnsi="Calibri" w:eastAsia="宋体"/>
                                <w:b/>
                                <w:color w:val="FF0000"/>
                                <w:spacing w:val="-30"/>
                                <w:sz w:val="88"/>
                                <w:szCs w:val="88"/>
                                <w:lang w:eastAsia="zh-CN"/>
                              </w:rPr>
                            </w:pPr>
                            <w:r>
                              <w:rPr>
                                <w:rFonts w:hint="eastAsia" w:ascii="Calibri" w:hAnsi="Calibri"/>
                                <w:b/>
                                <w:color w:val="FF0000"/>
                                <w:spacing w:val="-30"/>
                                <w:sz w:val="72"/>
                                <w:szCs w:val="72"/>
                                <w:lang w:eastAsia="zh-CN"/>
                              </w:rPr>
                              <w:t>湖南信息学院学生工作处（部）</w:t>
                            </w:r>
                          </w:p>
                        </w:tc>
                      </w:tr>
                    </w:tbl>
                    <w:p/>
                  </w:txbxContent>
                </v:textbox>
              </v:rect>
            </w:pict>
          </mc:Fallback>
        </mc:AlternateContent>
      </w:r>
    </w:p>
    <w:p>
      <w:pPr>
        <w:spacing w:line="600" w:lineRule="exact"/>
        <w:jc w:val="right"/>
        <w:rPr>
          <w:rFonts w:hint="eastAsia" w:ascii="仿宋" w:hAnsi="仿宋" w:eastAsia="仿宋" w:cs="仿宋_GB2312"/>
          <w:bCs/>
          <w:kern w:val="0"/>
          <w:sz w:val="30"/>
          <w:szCs w:val="30"/>
          <w:lang w:val="zh-CN" w:bidi="zh-CN"/>
        </w:rPr>
      </w:pPr>
      <w:r>
        <w:rPr>
          <w:rFonts w:hint="eastAsia" w:ascii="仿宋" w:hAnsi="仿宋" w:eastAsia="仿宋" w:cs="仿宋_GB2312"/>
          <w:bCs/>
          <w:kern w:val="0"/>
          <w:sz w:val="30"/>
          <w:szCs w:val="30"/>
          <w:lang w:val="zh-CN" w:bidi="zh-CN"/>
        </w:rPr>
        <w:t>湘信院学工部通〔202</w:t>
      </w:r>
      <w:r>
        <w:rPr>
          <w:rFonts w:hint="eastAsia" w:ascii="仿宋" w:hAnsi="仿宋" w:eastAsia="仿宋" w:cs="仿宋_GB2312"/>
          <w:bCs/>
          <w:kern w:val="0"/>
          <w:sz w:val="30"/>
          <w:szCs w:val="30"/>
          <w:lang w:val="en-US" w:bidi="zh-CN"/>
        </w:rPr>
        <w:t>3</w:t>
      </w:r>
      <w:r>
        <w:rPr>
          <w:rFonts w:hint="eastAsia" w:ascii="仿宋" w:hAnsi="仿宋" w:eastAsia="仿宋" w:cs="仿宋_GB2312"/>
          <w:bCs/>
          <w:kern w:val="0"/>
          <w:sz w:val="30"/>
          <w:szCs w:val="30"/>
          <w:lang w:val="zh-CN" w:bidi="zh-CN"/>
        </w:rPr>
        <w:t>〕</w:t>
      </w:r>
      <w:r>
        <w:rPr>
          <w:rFonts w:hint="eastAsia" w:ascii="仿宋" w:hAnsi="仿宋" w:eastAsia="仿宋" w:cs="仿宋_GB2312"/>
          <w:bCs/>
          <w:kern w:val="0"/>
          <w:sz w:val="30"/>
          <w:szCs w:val="30"/>
          <w:lang w:val="en-US" w:bidi="zh-CN"/>
        </w:rPr>
        <w:t>2</w:t>
      </w:r>
      <w:r>
        <w:rPr>
          <w:rFonts w:hint="eastAsia" w:ascii="仿宋" w:hAnsi="仿宋" w:eastAsia="仿宋" w:cs="仿宋_GB2312"/>
          <w:bCs/>
          <w:kern w:val="0"/>
          <w:sz w:val="30"/>
          <w:szCs w:val="30"/>
          <w:lang w:val="zh-CN" w:bidi="zh-CN"/>
        </w:rPr>
        <w:t>号</w:t>
      </w:r>
    </w:p>
    <w:p>
      <w:pPr>
        <w:pStyle w:val="2"/>
        <w:rPr>
          <w:rFonts w:hint="eastAsia"/>
        </w:rPr>
      </w:pPr>
    </w:p>
    <w:p>
      <w:pPr>
        <w:spacing w:line="60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关于202</w:t>
      </w:r>
      <w:r>
        <w:rPr>
          <w:rFonts w:hint="eastAsia" w:ascii="方正小标宋简体" w:eastAsia="方正小标宋简体"/>
          <w:bCs/>
          <w:color w:val="000000"/>
          <w:sz w:val="44"/>
          <w:szCs w:val="44"/>
          <w:lang w:val="en-US" w:eastAsia="zh-CN"/>
        </w:rPr>
        <w:t>3</w:t>
      </w:r>
      <w:r>
        <w:rPr>
          <w:rFonts w:hint="eastAsia" w:ascii="方正小标宋简体" w:eastAsia="方正小标宋简体"/>
          <w:bCs/>
          <w:color w:val="000000"/>
          <w:sz w:val="44"/>
          <w:szCs w:val="44"/>
        </w:rPr>
        <w:t>年</w:t>
      </w:r>
      <w:r>
        <w:rPr>
          <w:rFonts w:hint="eastAsia" w:ascii="方正小标宋简体" w:eastAsia="方正小标宋简体"/>
          <w:bCs/>
          <w:color w:val="000000"/>
          <w:sz w:val="44"/>
          <w:szCs w:val="44"/>
          <w:lang w:val="en-US" w:eastAsia="zh-CN"/>
        </w:rPr>
        <w:t>春</w:t>
      </w:r>
      <w:r>
        <w:rPr>
          <w:rFonts w:hint="eastAsia" w:ascii="方正小标宋简体" w:eastAsia="方正小标宋简体"/>
          <w:bCs/>
          <w:color w:val="000000"/>
          <w:sz w:val="44"/>
          <w:szCs w:val="44"/>
        </w:rPr>
        <w:t>季心理危机学生排查工作的通   知</w:t>
      </w:r>
    </w:p>
    <w:p>
      <w:pPr>
        <w:snapToGrid w:val="0"/>
        <w:spacing w:line="560" w:lineRule="exact"/>
        <w:rPr>
          <w:rFonts w:ascii="仿宋_GB2312" w:eastAsia="仿宋_GB2312"/>
          <w:color w:val="000000"/>
          <w:sz w:val="32"/>
          <w:szCs w:val="32"/>
        </w:rPr>
      </w:pPr>
      <w:r>
        <w:rPr>
          <w:rFonts w:hint="eastAsia" w:ascii="仿宋_GB2312" w:eastAsia="仿宋_GB2312"/>
          <w:color w:val="000000"/>
          <w:sz w:val="32"/>
          <w:szCs w:val="32"/>
        </w:rPr>
        <w:t>各二级学院：</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春</w:t>
      </w:r>
      <w:r>
        <w:rPr>
          <w:rFonts w:hint="eastAsia" w:ascii="仿宋_GB2312" w:eastAsia="仿宋_GB2312"/>
          <w:color w:val="000000"/>
          <w:sz w:val="32"/>
          <w:szCs w:val="32"/>
        </w:rPr>
        <w:t>季是心理疾病的高发季节，为深入细致地做好心理健康教育工作，严防学生因心理问题引发心理疾病和危机事件，学校特组织开展心理危机学生集中排查工作。具体安排如下：</w:t>
      </w:r>
    </w:p>
    <w:p>
      <w:pPr>
        <w:snapToGrid w:val="0"/>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一、排查时间</w:t>
      </w:r>
    </w:p>
    <w:p>
      <w:pPr>
        <w:snapToGrid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2月20</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日</w:t>
      </w:r>
    </w:p>
    <w:p>
      <w:pPr>
        <w:snapToGrid w:val="0"/>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二、排查对象</w:t>
      </w:r>
    </w:p>
    <w:p>
      <w:pPr>
        <w:snapToGrid w:val="0"/>
        <w:spacing w:line="560" w:lineRule="exact"/>
        <w:ind w:firstLine="56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全体学生</w:t>
      </w:r>
    </w:p>
    <w:p>
      <w:pPr>
        <w:snapToGrid w:val="0"/>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三、排查方式</w:t>
      </w:r>
    </w:p>
    <w:p>
      <w:pPr>
        <w:snapToGrid w:val="0"/>
        <w:spacing w:line="560" w:lineRule="exact"/>
        <w:ind w:firstLine="560"/>
        <w:rPr>
          <w:rFonts w:ascii="仿宋_GB2312" w:eastAsia="仿宋_GB2312"/>
          <w:color w:val="000000"/>
          <w:sz w:val="32"/>
          <w:szCs w:val="32"/>
        </w:rPr>
      </w:pPr>
      <w:r>
        <w:rPr>
          <w:rFonts w:hint="eastAsia" w:ascii="仿宋_GB2312" w:eastAsia="仿宋_GB2312"/>
          <w:color w:val="000000"/>
          <w:sz w:val="32"/>
          <w:szCs w:val="32"/>
        </w:rPr>
        <w:t>通过谈心谈话活动，了解学生心理健康状况。特别是心理普查中的一、二级预警对象，春秋季排查出的重点关注对象以及危机预警库中的学生（包括进行过危机干预的学生及心理疾病学生）等。根据《心理危机学生主要问题类型》（见附件一）的指导，通过班级心理委员、学习委员等学生干部深入学生中间了解情况，筛选出可能存在心理危机的学生。</w:t>
      </w:r>
    </w:p>
    <w:p>
      <w:pPr>
        <w:snapToGrid w:val="0"/>
        <w:spacing w:line="560" w:lineRule="exact"/>
        <w:ind w:firstLine="560"/>
        <w:rPr>
          <w:rFonts w:ascii="仿宋_GB2312" w:eastAsia="仿宋_GB2312"/>
          <w:color w:val="000000"/>
          <w:sz w:val="32"/>
          <w:szCs w:val="32"/>
        </w:rPr>
      </w:pPr>
      <w:r>
        <w:rPr>
          <w:rFonts w:hint="eastAsia" w:ascii="仿宋_GB2312" w:eastAsia="仿宋_GB2312"/>
          <w:color w:val="000000"/>
          <w:sz w:val="32"/>
          <w:szCs w:val="32"/>
        </w:rPr>
        <w:t>具体排查工作安排由各二级学院根据本院实际情况自行确定。</w:t>
      </w:r>
    </w:p>
    <w:p>
      <w:pPr>
        <w:snapToGrid w:val="0"/>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四、查后工作</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对筛选出来可能存在心理危机的学生，二级学院要安排适当的人（如辅导员、班级心理委员、当事人的朋友等）与其进一步交流，确定问题的严重程度和是否可能出现自杀、伤人等意外，并尝试帮助其解决问题。</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2．二级学院筛选出当下存在心理危机的学生，</w:t>
      </w:r>
      <w:r>
        <w:rPr>
          <w:rFonts w:hint="eastAsia" w:ascii="仿宋_GB2312" w:eastAsia="仿宋_GB2312"/>
          <w:sz w:val="32"/>
          <w:szCs w:val="32"/>
        </w:rPr>
        <w:t>上报湖南信息学院心领育心理健康教育大数据平台，</w:t>
      </w:r>
      <w:r>
        <w:rPr>
          <w:rFonts w:hint="eastAsia" w:ascii="仿宋_GB2312" w:eastAsia="仿宋_GB2312"/>
          <w:color w:val="000000"/>
          <w:sz w:val="32"/>
          <w:szCs w:val="32"/>
        </w:rPr>
        <w:t>书记签字，心理</w:t>
      </w:r>
      <w:r>
        <w:rPr>
          <w:rFonts w:hint="eastAsia" w:ascii="仿宋_GB2312" w:eastAsia="仿宋_GB2312"/>
          <w:color w:val="000000"/>
          <w:sz w:val="32"/>
          <w:szCs w:val="32"/>
          <w:lang w:val="en-US" w:eastAsia="zh-CN"/>
        </w:rPr>
        <w:t>健康教育</w:t>
      </w:r>
      <w:r>
        <w:rPr>
          <w:rFonts w:hint="eastAsia" w:ascii="仿宋_GB2312" w:eastAsia="仿宋_GB2312"/>
          <w:color w:val="000000"/>
          <w:sz w:val="32"/>
          <w:szCs w:val="32"/>
        </w:rPr>
        <w:t>中心评估，该生进入系统危机库（相关病历上传到附件），完成系统上报后附书面说明一份交心理</w:t>
      </w:r>
      <w:r>
        <w:rPr>
          <w:rFonts w:hint="eastAsia" w:ascii="仿宋_GB2312" w:eastAsia="仿宋_GB2312"/>
          <w:color w:val="000000"/>
          <w:sz w:val="32"/>
          <w:szCs w:val="32"/>
          <w:lang w:val="en-US" w:eastAsia="zh-CN"/>
        </w:rPr>
        <w:t>健康教育</w:t>
      </w:r>
      <w:r>
        <w:rPr>
          <w:rFonts w:hint="eastAsia" w:ascii="仿宋_GB2312" w:eastAsia="仿宋_GB2312"/>
          <w:color w:val="000000"/>
          <w:sz w:val="32"/>
          <w:szCs w:val="32"/>
        </w:rPr>
        <w:t>中心（详见</w:t>
      </w:r>
      <w:r>
        <w:rPr>
          <w:rFonts w:hint="eastAsia" w:ascii="仿宋_GB2312" w:eastAsia="仿宋_GB2312"/>
          <w:sz w:val="32"/>
          <w:szCs w:val="32"/>
        </w:rPr>
        <w:t>湖南信息学院心领育心理健康教育大数据平台操作指南</w:t>
      </w:r>
      <w:r>
        <w:rPr>
          <w:rFonts w:hint="eastAsia" w:ascii="仿宋_GB2312" w:eastAsia="仿宋_GB2312"/>
          <w:color w:val="000000"/>
          <w:sz w:val="32"/>
          <w:szCs w:val="32"/>
        </w:rPr>
        <w:t>）。</w:t>
      </w:r>
    </w:p>
    <w:p>
      <w:pPr>
        <w:snapToGrid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000000"/>
          <w:sz w:val="32"/>
          <w:szCs w:val="32"/>
        </w:rPr>
        <w:t>3.各二级学院心理专干负责在心领育系统核查本院排查情况，并按照学院春季排查说明模板对本次排查情况进行总结说明提交至心理</w:t>
      </w:r>
      <w:r>
        <w:rPr>
          <w:rFonts w:hint="eastAsia" w:ascii="仿宋_GB2312" w:eastAsia="仿宋_GB2312"/>
          <w:color w:val="000000"/>
          <w:sz w:val="32"/>
          <w:szCs w:val="32"/>
          <w:lang w:val="en-US" w:eastAsia="zh-CN"/>
        </w:rPr>
        <w:t>健康教育</w:t>
      </w:r>
      <w:r>
        <w:rPr>
          <w:rFonts w:hint="eastAsia" w:ascii="仿宋_GB2312" w:eastAsia="仿宋_GB2312"/>
          <w:color w:val="000000"/>
          <w:sz w:val="32"/>
          <w:szCs w:val="32"/>
        </w:rPr>
        <w:t>中心</w:t>
      </w:r>
      <w:r>
        <w:rPr>
          <w:rFonts w:hint="eastAsia" w:ascii="仿宋_GB2312" w:eastAsia="仿宋_GB2312"/>
          <w:color w:val="auto"/>
          <w:sz w:val="32"/>
          <w:szCs w:val="32"/>
          <w:highlight w:val="none"/>
        </w:rPr>
        <w:t>（详见202</w:t>
      </w:r>
      <w:r>
        <w:rPr>
          <w:rFonts w:hint="eastAsia" w:ascii="仿宋_GB2312" w:eastAsia="仿宋_GB2312"/>
          <w:color w:val="auto"/>
          <w:sz w:val="32"/>
          <w:szCs w:val="32"/>
          <w:highlight w:val="none"/>
          <w:lang w:val="en-US" w:eastAsia="zh-CN"/>
        </w:rPr>
        <w:t>3春季</w:t>
      </w:r>
      <w:r>
        <w:rPr>
          <w:rFonts w:hint="eastAsia" w:ascii="仿宋_GB2312" w:eastAsia="仿宋_GB2312"/>
          <w:color w:val="auto"/>
          <w:sz w:val="32"/>
          <w:szCs w:val="32"/>
          <w:highlight w:val="none"/>
        </w:rPr>
        <w:t>心理危机学生排查评分标准）。</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auto"/>
          <w:sz w:val="32"/>
          <w:szCs w:val="32"/>
          <w:highlight w:val="none"/>
        </w:rPr>
        <w:t>4．心理</w:t>
      </w:r>
      <w:r>
        <w:rPr>
          <w:rFonts w:hint="eastAsia" w:ascii="仿宋_GB2312" w:eastAsia="仿宋_GB2312"/>
          <w:color w:val="auto"/>
          <w:sz w:val="32"/>
          <w:szCs w:val="32"/>
          <w:highlight w:val="none"/>
          <w:lang w:val="en-US" w:eastAsia="zh-CN"/>
        </w:rPr>
        <w:t>健康教育</w:t>
      </w:r>
      <w:r>
        <w:rPr>
          <w:rFonts w:hint="eastAsia" w:ascii="仿宋_GB2312" w:eastAsia="仿宋_GB2312"/>
          <w:color w:val="auto"/>
          <w:sz w:val="32"/>
          <w:szCs w:val="32"/>
          <w:highlight w:val="none"/>
        </w:rPr>
        <w:t>中心对二级学</w:t>
      </w:r>
      <w:r>
        <w:rPr>
          <w:rFonts w:hint="eastAsia" w:ascii="仿宋_GB2312" w:eastAsia="仿宋_GB2312"/>
          <w:color w:val="000000"/>
          <w:sz w:val="32"/>
          <w:szCs w:val="32"/>
        </w:rPr>
        <w:t>院上报的可能存在心理危机的学生要进行研判评估，对确实存在危机的学生要及时直接实施干预或指导二级学院进行干预。</w:t>
      </w:r>
    </w:p>
    <w:p>
      <w:pPr>
        <w:snapToGrid w:val="0"/>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五、工作要求</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学生心理危机排查与干预工作责任重大，各二级学院要高度重视，本着“以人为本、尊重生命”的原则，将此作为维护学校稳定的重要工作来抓，由总支书记牵头，制定本学院排查工作方案，切实按本通知要求开展工作，确保排查没有漏洞。</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2．对已确定的重点学生要坚决落实“五个一”的危机干预机制（即“</w:t>
      </w:r>
      <w:r>
        <w:rPr>
          <w:rFonts w:hint="eastAsia" w:ascii="仿宋_GB2312" w:eastAsia="仿宋_GB2312"/>
          <w:sz w:val="32"/>
          <w:szCs w:val="32"/>
        </w:rPr>
        <w:t>一名危机学生、</w:t>
      </w:r>
      <w:r>
        <w:rPr>
          <w:rFonts w:hint="eastAsia" w:ascii="仿宋_GB2312" w:eastAsia="仿宋_GB2312"/>
          <w:color w:val="000000"/>
          <w:sz w:val="32"/>
          <w:szCs w:val="32"/>
        </w:rPr>
        <w:t xml:space="preserve">一名领 </w:t>
      </w:r>
      <w:r>
        <w:rPr>
          <w:rFonts w:ascii="仿宋_GB2312" w:eastAsia="仿宋_GB2312"/>
          <w:color w:val="000000"/>
          <w:sz w:val="32"/>
          <w:szCs w:val="32"/>
        </w:rPr>
        <w:t>导、一个班子、一套方案、一抓到底</w:t>
      </w:r>
      <w:r>
        <w:rPr>
          <w:rFonts w:hint="eastAsia" w:ascii="仿宋_GB2312" w:eastAsia="仿宋_GB2312"/>
          <w:color w:val="000000"/>
          <w:sz w:val="32"/>
          <w:szCs w:val="32"/>
        </w:rPr>
        <w:t>”），有针对性地采取措施，做好重点学生的教育和排解工作，杜绝学生因心理问题导致极端事件的发生。</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3．排查中要注意尊重学生人格，为学生保密。</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4．排查及干预情况要认真、规范、及时地记录。有关正处于严重心理危机中的学生情况必须及时向心理</w:t>
      </w:r>
      <w:r>
        <w:rPr>
          <w:rFonts w:hint="eastAsia" w:ascii="仿宋_GB2312" w:eastAsia="仿宋_GB2312"/>
          <w:color w:val="000000"/>
          <w:sz w:val="32"/>
          <w:szCs w:val="32"/>
          <w:lang w:val="en-US" w:eastAsia="zh-CN"/>
        </w:rPr>
        <w:t>健康教育</w:t>
      </w:r>
      <w:r>
        <w:rPr>
          <w:rFonts w:hint="eastAsia" w:ascii="仿宋_GB2312" w:eastAsia="仿宋_GB2312"/>
          <w:color w:val="000000"/>
          <w:sz w:val="32"/>
          <w:szCs w:val="32"/>
        </w:rPr>
        <w:t>中心、学工部以及学生家长进行通报。</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5．排查中遇到难以把握的情况，请随时向心理</w:t>
      </w:r>
      <w:r>
        <w:rPr>
          <w:rFonts w:hint="eastAsia" w:ascii="仿宋_GB2312" w:eastAsia="仿宋_GB2312"/>
          <w:color w:val="000000"/>
          <w:sz w:val="32"/>
          <w:szCs w:val="32"/>
          <w:lang w:val="en-US" w:eastAsia="zh-CN"/>
        </w:rPr>
        <w:t>健康教育</w:t>
      </w:r>
      <w:r>
        <w:rPr>
          <w:rFonts w:hint="eastAsia" w:ascii="仿宋_GB2312" w:eastAsia="仿宋_GB2312"/>
          <w:color w:val="000000"/>
          <w:sz w:val="32"/>
          <w:szCs w:val="32"/>
        </w:rPr>
        <w:t>中心的专职教师进行咨询。</w:t>
      </w:r>
    </w:p>
    <w:p>
      <w:pPr>
        <w:snapToGrid w:val="0"/>
        <w:spacing w:line="560" w:lineRule="exact"/>
        <w:rPr>
          <w:rFonts w:ascii="仿宋_GB2312" w:eastAsia="仿宋_GB2312"/>
          <w:color w:val="000000"/>
          <w:sz w:val="32"/>
          <w:szCs w:val="32"/>
        </w:rPr>
      </w:pPr>
    </w:p>
    <w:p>
      <w:pPr>
        <w:snapToGrid w:val="0"/>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附件：《心理危机学生主要问题类型》</w:t>
      </w:r>
    </w:p>
    <w:p>
      <w:pPr>
        <w:snapToGrid w:val="0"/>
        <w:spacing w:line="560" w:lineRule="exact"/>
        <w:ind w:firstLine="645"/>
        <w:rPr>
          <w:rFonts w:ascii="仿宋_GB2312" w:eastAsia="仿宋_GB2312"/>
          <w:color w:val="000000"/>
          <w:sz w:val="32"/>
          <w:szCs w:val="32"/>
        </w:rPr>
      </w:pPr>
    </w:p>
    <w:p>
      <w:pPr>
        <w:snapToGrid w:val="0"/>
        <w:spacing w:line="560" w:lineRule="exact"/>
        <w:jc w:val="right"/>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 xml:space="preserve">       </w:t>
      </w:r>
    </w:p>
    <w:p>
      <w:pPr>
        <w:snapToGrid w:val="0"/>
        <w:spacing w:line="560" w:lineRule="exact"/>
        <w:jc w:val="center"/>
        <w:rPr>
          <w:rFonts w:ascii="仿宋_GB2312" w:eastAsia="仿宋_GB2312"/>
          <w:color w:val="FFFFFF" w:themeColor="background1"/>
          <w:sz w:val="32"/>
          <w:szCs w:val="32"/>
          <w:highlight w:val="none"/>
          <w14:textFill>
            <w14:solidFill>
              <w14:schemeClr w14:val="bg1"/>
            </w14:solidFill>
          </w14:textFill>
        </w:rPr>
      </w:pPr>
      <w:r>
        <w:rPr>
          <w:rFonts w:hint="eastAsia" w:ascii="仿宋_GB2312" w:eastAsia="仿宋_GB2312"/>
          <w:color w:val="000000"/>
          <w:sz w:val="32"/>
          <w:szCs w:val="32"/>
        </w:rPr>
        <w:t xml:space="preserve">                           学生工作部（处）</w:t>
      </w:r>
    </w:p>
    <w:p>
      <w:pPr>
        <w:snapToGrid w:val="0"/>
        <w:spacing w:line="560" w:lineRule="exact"/>
        <w:jc w:val="center"/>
        <w:rPr>
          <w:rFonts w:hint="eastAsia" w:ascii="仿宋_GB2312" w:eastAsia="仿宋_GB2312"/>
          <w:color w:val="auto"/>
          <w:sz w:val="32"/>
          <w:szCs w:val="32"/>
          <w:highlight w:val="none"/>
          <w:lang w:val="en-US" w:eastAsia="zh-CN"/>
        </w:rPr>
      </w:pPr>
      <w:r>
        <w:rPr>
          <w:rFonts w:hint="eastAsia" w:ascii="仿宋_GB2312" w:eastAsia="仿宋_GB2312"/>
          <w:color w:val="FFFFFF" w:themeColor="background1"/>
          <w:sz w:val="32"/>
          <w:szCs w:val="32"/>
          <w:highlight w:val="none"/>
          <w14:textFill>
            <w14:solidFill>
              <w14:schemeClr w14:val="bg1"/>
            </w14:solidFill>
          </w14:textFill>
        </w:rPr>
        <w:t xml:space="preserve">                    </w:t>
      </w:r>
      <w:r>
        <w:rPr>
          <w:rFonts w:hint="eastAsia" w:ascii="仿宋_GB2312" w:eastAsia="仿宋_GB2312"/>
          <w:color w:val="FFFFFF" w:themeColor="background1"/>
          <w:sz w:val="32"/>
          <w:szCs w:val="32"/>
          <w:highlight w:val="none"/>
          <w:lang w:val="en-US" w:eastAsia="zh-CN"/>
          <w14:textFill>
            <w14:solidFill>
              <w14:schemeClr w14:val="bg1"/>
            </w14:solidFill>
          </w14:textFill>
        </w:rPr>
        <w:t xml:space="preserve">     </w:t>
      </w:r>
      <w:r>
        <w:rPr>
          <w:rFonts w:hint="eastAsia" w:ascii="仿宋_GB2312" w:eastAsia="仿宋_GB2312"/>
          <w:color w:val="FFFFFF" w:themeColor="background1"/>
          <w:sz w:val="32"/>
          <w:szCs w:val="32"/>
          <w:highlight w:val="none"/>
          <w14:textFill>
            <w14:solidFill>
              <w14:schemeClr w14:val="bg1"/>
            </w14:solidFill>
          </w14:textFill>
        </w:rPr>
        <w:t xml:space="preserve"> </w:t>
      </w:r>
      <w:r>
        <w:rPr>
          <w:rFonts w:hint="eastAsia" w:ascii="仿宋_GB2312" w:eastAsia="仿宋_GB2312"/>
          <w:color w:val="FFFFFF" w:themeColor="background1"/>
          <w:sz w:val="32"/>
          <w:szCs w:val="32"/>
          <w:highlight w:val="none"/>
          <w:lang w:val="en-US" w:eastAsia="zh-CN"/>
          <w14:textFill>
            <w14:solidFill>
              <w14:schemeClr w14:val="bg1"/>
            </w14:solidFill>
          </w14:textFill>
        </w:rPr>
        <w:t xml:space="preserve"> </w:t>
      </w:r>
      <w:r>
        <w:rPr>
          <w:rFonts w:hint="eastAsia" w:ascii="仿宋_GB2312" w:eastAsia="仿宋_GB2312"/>
          <w:color w:val="auto"/>
          <w:sz w:val="32"/>
          <w:szCs w:val="32"/>
          <w:highlight w:val="none"/>
        </w:rPr>
        <w:t>2</w:t>
      </w:r>
      <w:r>
        <w:rPr>
          <w:rFonts w:ascii="仿宋_GB2312" w:eastAsia="仿宋_GB2312"/>
          <w:color w:val="auto"/>
          <w:sz w:val="32"/>
          <w:szCs w:val="32"/>
          <w:highlight w:val="none"/>
        </w:rPr>
        <w:t>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日</w:t>
      </w:r>
    </w:p>
    <w:p>
      <w:pPr>
        <w:snapToGrid w:val="0"/>
        <w:spacing w:line="560" w:lineRule="exact"/>
        <w:jc w:val="center"/>
        <w:rPr>
          <w:rFonts w:ascii="仿宋_GB2312" w:eastAsia="仿宋_GB2312"/>
          <w:color w:val="FF0000"/>
          <w:sz w:val="32"/>
          <w:szCs w:val="32"/>
        </w:rPr>
      </w:pPr>
    </w:p>
    <w:p>
      <w:pPr>
        <w:snapToGrid w:val="0"/>
        <w:spacing w:line="560" w:lineRule="exact"/>
        <w:rPr>
          <w:rFonts w:ascii="仿宋_GB2312" w:eastAsia="仿宋_GB2312"/>
          <w:color w:val="FF0000"/>
          <w:sz w:val="32"/>
          <w:szCs w:val="32"/>
        </w:rPr>
      </w:pPr>
    </w:p>
    <w:p>
      <w:pPr>
        <w:snapToGrid w:val="0"/>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spacing w:line="560" w:lineRule="exact"/>
        <w:rPr>
          <w:rFonts w:ascii="黑体" w:eastAsia="黑体"/>
          <w:b/>
          <w:color w:val="000000"/>
          <w:sz w:val="32"/>
          <w:szCs w:val="32"/>
        </w:rPr>
      </w:pPr>
      <w:r>
        <w:rPr>
          <w:rFonts w:hint="eastAsia" w:ascii="黑体" w:eastAsia="黑体"/>
          <w:b/>
          <w:color w:val="000000"/>
          <w:sz w:val="32"/>
          <w:szCs w:val="32"/>
        </w:rPr>
        <w:t>（注：本通知请勿张贴！）</w:t>
      </w:r>
    </w:p>
    <w:p>
      <w:pPr>
        <w:snapToGrid w:val="0"/>
        <w:spacing w:line="560" w:lineRule="exact"/>
        <w:jc w:val="both"/>
        <w:rPr>
          <w:rFonts w:ascii="仿宋_GB2312" w:eastAsia="仿宋_GB2312"/>
          <w:color w:val="FF0000"/>
          <w:sz w:val="32"/>
          <w:szCs w:val="32"/>
        </w:rPr>
      </w:pPr>
    </w:p>
    <w:p>
      <w:pPr>
        <w:snapToGrid w:val="0"/>
        <w:spacing w:line="560" w:lineRule="exact"/>
        <w:jc w:val="center"/>
        <w:rPr>
          <w:rFonts w:ascii="仿宋_GB2312" w:eastAsia="仿宋_GB2312"/>
          <w:color w:val="FF0000"/>
          <w:sz w:val="32"/>
          <w:szCs w:val="32"/>
        </w:rPr>
      </w:pPr>
      <w:r>
        <w:rPr>
          <w:rFonts w:ascii="仿宋_GB2312" w:eastAsia="仿宋_GB2312"/>
          <w:color w:val="FF0000"/>
          <w:sz w:val="32"/>
          <w:szCs w:val="32"/>
        </w:rPr>
        <w:br w:type="page"/>
      </w:r>
    </w:p>
    <w:p>
      <w:pPr>
        <w:snapToGrid w:val="0"/>
        <w:spacing w:line="560" w:lineRule="exact"/>
        <w:rPr>
          <w:rFonts w:ascii="宋体" w:hAnsi="宋体"/>
          <w:b/>
          <w:bCs/>
          <w:color w:val="FF0000"/>
          <w:sz w:val="32"/>
          <w:szCs w:val="32"/>
        </w:rPr>
      </w:pPr>
      <w:r>
        <w:rPr>
          <w:rFonts w:hint="eastAsia" w:ascii="宋体" w:hAnsi="宋体"/>
          <w:b/>
          <w:bCs/>
          <w:color w:val="000000"/>
          <w:sz w:val="32"/>
          <w:szCs w:val="32"/>
        </w:rPr>
        <w:t>附件：</w:t>
      </w:r>
    </w:p>
    <w:p>
      <w:pPr>
        <w:snapToGrid w:val="0"/>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心理危机学生主要问题类型</w:t>
      </w:r>
    </w:p>
    <w:p>
      <w:pPr>
        <w:snapToGrid w:val="0"/>
        <w:spacing w:line="560" w:lineRule="exact"/>
        <w:ind w:firstLine="643" w:firstLineChars="200"/>
        <w:rPr>
          <w:rFonts w:ascii="仿宋_GB2312" w:eastAsia="仿宋_GB2312"/>
          <w:b/>
          <w:color w:val="000000"/>
          <w:sz w:val="32"/>
          <w:szCs w:val="32"/>
        </w:rPr>
      </w:pPr>
    </w:p>
    <w:p>
      <w:pPr>
        <w:snapToGrid w:val="0"/>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第一类</w:t>
      </w:r>
      <w:r>
        <w:rPr>
          <w:rFonts w:hint="eastAsia" w:ascii="仿宋_GB2312" w:eastAsia="仿宋_GB2312"/>
          <w:color w:val="000000"/>
          <w:sz w:val="32"/>
          <w:szCs w:val="32"/>
        </w:rPr>
        <w:t xml:space="preserve"> 对生活失去信心，流露出轻生想法的学生。</w:t>
      </w:r>
    </w:p>
    <w:p>
      <w:pPr>
        <w:snapToGrid w:val="0"/>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第二类</w:t>
      </w:r>
      <w:r>
        <w:rPr>
          <w:rFonts w:hint="eastAsia" w:ascii="仿宋_GB2312" w:eastAsia="仿宋_GB2312"/>
          <w:color w:val="000000"/>
          <w:sz w:val="32"/>
          <w:szCs w:val="32"/>
        </w:rPr>
        <w:t xml:space="preserve"> </w:t>
      </w:r>
      <w:r>
        <w:rPr>
          <w:rFonts w:ascii="仿宋_GB2312" w:eastAsia="仿宋_GB2312"/>
          <w:color w:val="000000"/>
          <w:sz w:val="32"/>
          <w:szCs w:val="32"/>
        </w:rPr>
        <w:t>由于</w:t>
      </w:r>
      <w:r>
        <w:rPr>
          <w:rFonts w:hint="eastAsia" w:ascii="仿宋_GB2312" w:eastAsia="仿宋_GB2312"/>
          <w:color w:val="000000"/>
          <w:sz w:val="32"/>
          <w:szCs w:val="32"/>
        </w:rPr>
        <w:t>学习压力过大而出现心理异常的学生，如第一次出现不及格科目的优秀学生、有多门功课不及格的学生、将被退学的学生、完成毕业论文有严重困难的学生、自感无能力完成学业的学生等。</w:t>
      </w:r>
    </w:p>
    <w:p>
      <w:pPr>
        <w:snapToGrid w:val="0"/>
        <w:spacing w:line="56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sz w:val="32"/>
          <w:szCs w:val="32"/>
        </w:rPr>
        <w:t>第三类</w:t>
      </w:r>
      <w:r>
        <w:rPr>
          <w:rFonts w:hint="eastAsia" w:ascii="仿宋_GB2312" w:eastAsia="仿宋_GB2312"/>
          <w:color w:val="000000"/>
          <w:sz w:val="32"/>
          <w:szCs w:val="32"/>
        </w:rPr>
        <w:t xml:space="preserve"> </w:t>
      </w:r>
      <w:r>
        <w:rPr>
          <w:rFonts w:ascii="仿宋_GB2312" w:eastAsia="仿宋_GB2312"/>
          <w:color w:val="000000"/>
          <w:sz w:val="32"/>
          <w:szCs w:val="32"/>
        </w:rPr>
        <w:t>生活中遭遇突然打击而出现心理</w:t>
      </w:r>
      <w:r>
        <w:rPr>
          <w:rFonts w:hint="eastAsia" w:ascii="仿宋_GB2312" w:eastAsia="仿宋_GB2312"/>
          <w:color w:val="000000"/>
          <w:sz w:val="32"/>
          <w:szCs w:val="32"/>
        </w:rPr>
        <w:t>或行为异常的学生，如家庭发生重大变故（亲人死亡；父母的离异；父母下岗；家庭暴力等）、遭遇性危机（性伤害；性暴力；性侵犯；意外怀孕等）、受到意外刺激（自然灾害；校园暴力；车祸等其他突发事件）的学生；</w:t>
      </w:r>
      <w:r>
        <w:rPr>
          <w:rFonts w:hint="eastAsia" w:ascii="仿宋_GB2312" w:hAnsi="微软雅黑" w:eastAsia="仿宋_GB2312" w:cs="宋体"/>
          <w:color w:val="000000" w:themeColor="text1"/>
          <w:kern w:val="0"/>
          <w:sz w:val="32"/>
          <w:szCs w:val="32"/>
          <w14:textFill>
            <w14:solidFill>
              <w14:schemeClr w14:val="tx1"/>
            </w14:solidFill>
          </w14:textFill>
        </w:rPr>
        <w:t>陷入不良网贷，背负大额债务的学生人群或遭受电信诈骗的学生</w:t>
      </w:r>
      <w:r>
        <w:rPr>
          <w:rFonts w:hint="eastAsia" w:ascii="仿宋_GB2312" w:eastAsia="仿宋_GB2312"/>
          <w:color w:val="000000" w:themeColor="text1"/>
          <w:sz w:val="32"/>
          <w:szCs w:val="32"/>
          <w14:textFill>
            <w14:solidFill>
              <w14:schemeClr w14:val="tx1"/>
            </w14:solidFill>
          </w14:textFill>
        </w:rPr>
        <w:t>等。</w:t>
      </w:r>
    </w:p>
    <w:p>
      <w:pPr>
        <w:snapToGrid w:val="0"/>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第四类</w:t>
      </w:r>
      <w:r>
        <w:rPr>
          <w:rFonts w:hint="eastAsia" w:ascii="仿宋_GB2312" w:eastAsia="仿宋_GB2312"/>
          <w:color w:val="000000"/>
          <w:sz w:val="32"/>
          <w:szCs w:val="32"/>
        </w:rPr>
        <w:t xml:space="preserve"> </w:t>
      </w:r>
      <w:r>
        <w:rPr>
          <w:rFonts w:ascii="仿宋_GB2312" w:eastAsia="仿宋_GB2312"/>
          <w:color w:val="000000"/>
          <w:sz w:val="32"/>
          <w:szCs w:val="32"/>
        </w:rPr>
        <w:t>个人感情受挫</w:t>
      </w:r>
      <w:r>
        <w:rPr>
          <w:rFonts w:hint="eastAsia" w:ascii="仿宋_GB2312" w:eastAsia="仿宋_GB2312"/>
          <w:color w:val="000000"/>
          <w:sz w:val="32"/>
          <w:szCs w:val="32"/>
        </w:rPr>
        <w:t>后出现心理或行为异常的学生，如近期失恋者、单相思而情绪失控的学生等。</w:t>
      </w:r>
    </w:p>
    <w:p>
      <w:pPr>
        <w:snapToGrid w:val="0"/>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第五类</w:t>
      </w:r>
      <w:r>
        <w:rPr>
          <w:rFonts w:hint="eastAsia" w:ascii="仿宋_GB2312" w:eastAsia="仿宋_GB2312"/>
          <w:color w:val="000000"/>
          <w:sz w:val="32"/>
          <w:szCs w:val="32"/>
        </w:rPr>
        <w:t xml:space="preserve"> 人际关系失调后出现心理或行为异常的学生，如当众受辱、受惊吓、与同学发生严重人际冲突而被排斥受歧视的学生、与老师发生严重人际冲突的学生、</w:t>
      </w:r>
      <w:r>
        <w:rPr>
          <w:rFonts w:ascii="仿宋_GB2312" w:eastAsia="仿宋_GB2312"/>
          <w:color w:val="000000"/>
          <w:sz w:val="32"/>
          <w:szCs w:val="32"/>
        </w:rPr>
        <w:t>与他人纷争而感到丧失</w:t>
      </w:r>
      <w:r>
        <w:rPr>
          <w:rFonts w:hint="eastAsia" w:ascii="仿宋_GB2312" w:eastAsia="仿宋_GB2312"/>
          <w:color w:val="000000"/>
          <w:sz w:val="32"/>
          <w:szCs w:val="32"/>
        </w:rPr>
        <w:t>“</w:t>
      </w:r>
      <w:r>
        <w:rPr>
          <w:rFonts w:ascii="仿宋_GB2312" w:eastAsia="仿宋_GB2312"/>
          <w:color w:val="000000"/>
          <w:sz w:val="32"/>
          <w:szCs w:val="32"/>
        </w:rPr>
        <w:t>尊严</w:t>
      </w:r>
      <w:r>
        <w:rPr>
          <w:rFonts w:hint="eastAsia" w:ascii="仿宋_GB2312" w:eastAsia="仿宋_GB2312"/>
          <w:color w:val="000000"/>
          <w:sz w:val="32"/>
          <w:szCs w:val="32"/>
        </w:rPr>
        <w:t>”</w:t>
      </w:r>
      <w:r>
        <w:rPr>
          <w:rFonts w:ascii="仿宋_GB2312" w:eastAsia="仿宋_GB2312"/>
          <w:color w:val="000000"/>
          <w:sz w:val="32"/>
          <w:szCs w:val="32"/>
        </w:rPr>
        <w:t>并引起愤怒、寻求报复的学生</w:t>
      </w:r>
      <w:r>
        <w:rPr>
          <w:rFonts w:hint="eastAsia" w:ascii="仿宋_GB2312" w:eastAsia="仿宋_GB2312"/>
          <w:color w:val="000000"/>
          <w:sz w:val="32"/>
          <w:szCs w:val="32"/>
        </w:rPr>
        <w:t>。</w:t>
      </w:r>
    </w:p>
    <w:p>
      <w:pPr>
        <w:snapToGrid w:val="0"/>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第六类</w:t>
      </w:r>
      <w:r>
        <w:rPr>
          <w:rFonts w:hint="eastAsia" w:ascii="仿宋_GB2312" w:eastAsia="仿宋_GB2312"/>
          <w:color w:val="000000"/>
          <w:sz w:val="32"/>
          <w:szCs w:val="32"/>
        </w:rPr>
        <w:t xml:space="preserve"> 经济严重贫困且出现心理或行为异常的学生，如</w:t>
      </w:r>
      <w:r>
        <w:rPr>
          <w:rFonts w:ascii="仿宋_GB2312" w:eastAsia="仿宋_GB2312"/>
          <w:color w:val="000000"/>
          <w:sz w:val="32"/>
          <w:szCs w:val="32"/>
        </w:rPr>
        <w:t>家境贫困、经济负担重、严重自卑的学生。</w:t>
      </w:r>
    </w:p>
    <w:p>
      <w:pPr>
        <w:snapToGrid w:val="0"/>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第七类</w:t>
      </w:r>
      <w:r>
        <w:rPr>
          <w:rFonts w:hint="eastAsia" w:ascii="仿宋_GB2312" w:eastAsia="仿宋_GB2312"/>
          <w:color w:val="000000"/>
          <w:sz w:val="32"/>
          <w:szCs w:val="32"/>
        </w:rPr>
        <w:t xml:space="preserve"> </w:t>
      </w:r>
      <w:r>
        <w:rPr>
          <w:rFonts w:ascii="仿宋_GB2312" w:eastAsia="仿宋_GB2312"/>
          <w:color w:val="000000"/>
          <w:sz w:val="32"/>
          <w:szCs w:val="32"/>
        </w:rPr>
        <w:t>感到极度孤独绝望，有一种走投无路的感觉，自认为没有谁可以帮助自己的学生</w:t>
      </w:r>
      <w:r>
        <w:rPr>
          <w:rFonts w:hint="eastAsia" w:ascii="仿宋_GB2312" w:eastAsia="仿宋_GB2312"/>
          <w:color w:val="000000"/>
          <w:sz w:val="32"/>
          <w:szCs w:val="32"/>
        </w:rPr>
        <w:t>，</w:t>
      </w:r>
      <w:r>
        <w:rPr>
          <w:rFonts w:ascii="仿宋_GB2312" w:eastAsia="仿宋_GB2312"/>
          <w:color w:val="000000"/>
          <w:sz w:val="32"/>
          <w:szCs w:val="32"/>
        </w:rPr>
        <w:t>如性格非常内向、孤僻、缺乏社会支持的学生。</w:t>
      </w:r>
    </w:p>
    <w:p>
      <w:pPr>
        <w:snapToGrid w:val="0"/>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第八类</w:t>
      </w:r>
      <w:r>
        <w:rPr>
          <w:rFonts w:hint="eastAsia" w:ascii="仿宋_GB2312" w:eastAsia="仿宋_GB2312"/>
          <w:color w:val="000000"/>
          <w:sz w:val="32"/>
          <w:szCs w:val="32"/>
        </w:rPr>
        <w:t xml:space="preserve"> 身体</w:t>
      </w:r>
      <w:r>
        <w:rPr>
          <w:rFonts w:ascii="仿宋_GB2312" w:eastAsia="仿宋_GB2312"/>
          <w:color w:val="000000"/>
          <w:sz w:val="32"/>
          <w:szCs w:val="32"/>
        </w:rPr>
        <w:t>患有</w:t>
      </w:r>
      <w:r>
        <w:rPr>
          <w:rFonts w:hint="eastAsia" w:ascii="仿宋_GB2312" w:eastAsia="仿宋_GB2312"/>
          <w:color w:val="000000"/>
          <w:sz w:val="32"/>
          <w:szCs w:val="32"/>
        </w:rPr>
        <w:t>严重疾病，如传染性肝炎、肺结核、肿瘤等，医疗费用很高但又难以治愈，个人很痛苦，治疗周期长，经济负担重的学生。</w:t>
      </w:r>
    </w:p>
    <w:p>
      <w:pPr>
        <w:snapToGrid w:val="0"/>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第九类</w:t>
      </w:r>
      <w:r>
        <w:rPr>
          <w:rFonts w:hint="eastAsia" w:ascii="仿宋_GB2312" w:eastAsia="仿宋_GB2312"/>
          <w:color w:val="000000"/>
          <w:sz w:val="32"/>
          <w:szCs w:val="32"/>
        </w:rPr>
        <w:t xml:space="preserve"> 患有严重心理疾病，并已经专家确诊的学生，如患有抑郁症、恐怖症、强迫症、癔症、焦虑症、精神分裂症、情感性精神病等疾病的学生。</w:t>
      </w:r>
    </w:p>
    <w:p>
      <w:pPr>
        <w:snapToGrid w:val="0"/>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第十类</w:t>
      </w:r>
      <w:r>
        <w:rPr>
          <w:rFonts w:hint="eastAsia" w:ascii="仿宋_GB2312" w:eastAsia="仿宋_GB2312"/>
          <w:color w:val="000000"/>
          <w:sz w:val="32"/>
          <w:szCs w:val="32"/>
        </w:rPr>
        <w:t xml:space="preserve"> 出现严重适应不良导致心理或行为异常的学生</w:t>
      </w:r>
      <w:r>
        <w:rPr>
          <w:rFonts w:ascii="仿宋_GB2312" w:eastAsia="仿宋_GB2312"/>
          <w:color w:val="000000"/>
          <w:sz w:val="32"/>
          <w:szCs w:val="32"/>
        </w:rPr>
        <w:t>,如新生适应不良者、就</w:t>
      </w:r>
      <w:r>
        <w:rPr>
          <w:rFonts w:hint="eastAsia" w:ascii="仿宋_GB2312" w:eastAsia="仿宋_GB2312"/>
          <w:color w:val="000000"/>
          <w:sz w:val="32"/>
          <w:szCs w:val="32"/>
        </w:rPr>
        <w:t>业困难的毕业生。</w:t>
      </w:r>
    </w:p>
    <w:p>
      <w:pPr>
        <w:snapToGrid w:val="0"/>
        <w:spacing w:line="56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第十一类</w:t>
      </w:r>
      <w:r>
        <w:rPr>
          <w:rFonts w:hint="eastAsia" w:ascii="仿宋_GB2312" w:eastAsia="仿宋_GB2312"/>
          <w:color w:val="000000"/>
          <w:sz w:val="32"/>
          <w:szCs w:val="32"/>
        </w:rPr>
        <w:t xml:space="preserve"> </w:t>
      </w:r>
      <w:r>
        <w:rPr>
          <w:rFonts w:ascii="仿宋_GB2312" w:eastAsia="仿宋_GB2312"/>
          <w:color w:val="000000"/>
          <w:sz w:val="32"/>
          <w:szCs w:val="32"/>
        </w:rPr>
        <w:t>由于身边</w:t>
      </w:r>
      <w:r>
        <w:rPr>
          <w:rFonts w:hint="eastAsia" w:ascii="仿宋_GB2312" w:eastAsia="仿宋_GB2312"/>
          <w:color w:val="000000"/>
          <w:sz w:val="32"/>
          <w:szCs w:val="32"/>
        </w:rPr>
        <w:t>亲近的人</w:t>
      </w:r>
      <w:r>
        <w:rPr>
          <w:rFonts w:ascii="仿宋_GB2312" w:eastAsia="仿宋_GB2312"/>
          <w:color w:val="000000"/>
          <w:sz w:val="32"/>
          <w:szCs w:val="32"/>
        </w:rPr>
        <w:t>出现个体危机状况</w:t>
      </w:r>
      <w:r>
        <w:rPr>
          <w:rFonts w:hint="eastAsia" w:ascii="仿宋_GB2312" w:eastAsia="仿宋_GB2312"/>
          <w:color w:val="000000"/>
          <w:sz w:val="32"/>
          <w:szCs w:val="32"/>
        </w:rPr>
        <w:t>（</w:t>
      </w:r>
      <w:r>
        <w:rPr>
          <w:rFonts w:ascii="仿宋_GB2312" w:eastAsia="仿宋_GB2312"/>
          <w:color w:val="000000"/>
          <w:sz w:val="32"/>
          <w:szCs w:val="32"/>
        </w:rPr>
        <w:t>如自杀或他杀者</w:t>
      </w:r>
      <w:r>
        <w:rPr>
          <w:rFonts w:hint="eastAsia" w:ascii="仿宋_GB2312" w:eastAsia="仿宋_GB2312"/>
          <w:color w:val="000000"/>
          <w:sz w:val="32"/>
          <w:szCs w:val="32"/>
        </w:rPr>
        <w:t>）</w:t>
      </w:r>
      <w:r>
        <w:rPr>
          <w:rFonts w:ascii="仿宋_GB2312" w:eastAsia="仿宋_GB2312"/>
          <w:color w:val="000000"/>
          <w:sz w:val="32"/>
          <w:szCs w:val="32"/>
        </w:rPr>
        <w:t>而受到影响，产生恐慌、担心、焦虑、困扰的学生。</w:t>
      </w:r>
    </w:p>
    <w:p>
      <w:pPr>
        <w:snapToGrid w:val="0"/>
        <w:spacing w:line="560" w:lineRule="exact"/>
        <w:rPr>
          <w:rFonts w:ascii="仿宋_GB2312" w:eastAsia="仿宋_GB2312"/>
          <w:color w:val="000000"/>
          <w:sz w:val="32"/>
          <w:szCs w:val="32"/>
        </w:rPr>
      </w:pPr>
      <w:r>
        <w:rPr>
          <w:rFonts w:hint="eastAsia" w:ascii="仿宋_GB2312" w:eastAsia="仿宋_GB2312"/>
          <w:color w:val="000000"/>
          <w:sz w:val="32"/>
          <w:szCs w:val="32"/>
        </w:rPr>
        <w:t>说明：</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具有以上十一类中某类表现或问题的学生，可初步认为存在心理危机。 </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尤其要关注上述多种特征并存的学生，其危险程度更大，应成为重点干预的对象。</w:t>
      </w:r>
    </w:p>
    <w:p>
      <w:pPr>
        <w:spacing w:line="560" w:lineRule="exact"/>
        <w:rPr>
          <w:sz w:val="32"/>
          <w:szCs w:val="32"/>
        </w:rPr>
      </w:pPr>
    </w:p>
    <w:p>
      <w:pPr>
        <w:snapToGrid w:val="0"/>
        <w:spacing w:line="560" w:lineRule="exact"/>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MDg1MjQ3NDFkNjhmOGFmNjNhYjkxNGRlZDIyMDUifQ=="/>
  </w:docVars>
  <w:rsids>
    <w:rsidRoot w:val="00025518"/>
    <w:rsid w:val="00025518"/>
    <w:rsid w:val="00082D24"/>
    <w:rsid w:val="00106E38"/>
    <w:rsid w:val="001E1D18"/>
    <w:rsid w:val="00200AC0"/>
    <w:rsid w:val="002F563A"/>
    <w:rsid w:val="00303B7B"/>
    <w:rsid w:val="00343A5E"/>
    <w:rsid w:val="003B6BB4"/>
    <w:rsid w:val="00450518"/>
    <w:rsid w:val="00472FAB"/>
    <w:rsid w:val="00476F64"/>
    <w:rsid w:val="004B63C3"/>
    <w:rsid w:val="00510766"/>
    <w:rsid w:val="005230EF"/>
    <w:rsid w:val="005327C6"/>
    <w:rsid w:val="00571E99"/>
    <w:rsid w:val="00690DBD"/>
    <w:rsid w:val="00695558"/>
    <w:rsid w:val="006B65B9"/>
    <w:rsid w:val="006D6D62"/>
    <w:rsid w:val="006E6B3F"/>
    <w:rsid w:val="006E7628"/>
    <w:rsid w:val="007032F4"/>
    <w:rsid w:val="007713D0"/>
    <w:rsid w:val="007D2C04"/>
    <w:rsid w:val="007D3952"/>
    <w:rsid w:val="008043B2"/>
    <w:rsid w:val="00835E95"/>
    <w:rsid w:val="0093331D"/>
    <w:rsid w:val="00953FB8"/>
    <w:rsid w:val="009A32A9"/>
    <w:rsid w:val="009D6F50"/>
    <w:rsid w:val="009F5C85"/>
    <w:rsid w:val="00A04BBA"/>
    <w:rsid w:val="00AB3C94"/>
    <w:rsid w:val="00AE1FE0"/>
    <w:rsid w:val="00BF472C"/>
    <w:rsid w:val="00BF554A"/>
    <w:rsid w:val="00BF5F3F"/>
    <w:rsid w:val="00BF6AF0"/>
    <w:rsid w:val="00C16B70"/>
    <w:rsid w:val="00C263F8"/>
    <w:rsid w:val="00C3309C"/>
    <w:rsid w:val="00CB4D20"/>
    <w:rsid w:val="00D10FF4"/>
    <w:rsid w:val="00D46C06"/>
    <w:rsid w:val="00D47B69"/>
    <w:rsid w:val="00DB4D53"/>
    <w:rsid w:val="00DC0C52"/>
    <w:rsid w:val="00E02767"/>
    <w:rsid w:val="00E33792"/>
    <w:rsid w:val="00E80ED3"/>
    <w:rsid w:val="00ED3B52"/>
    <w:rsid w:val="00EE76A0"/>
    <w:rsid w:val="00F40E55"/>
    <w:rsid w:val="00F5726A"/>
    <w:rsid w:val="04151F52"/>
    <w:rsid w:val="065765C2"/>
    <w:rsid w:val="06D536C7"/>
    <w:rsid w:val="0B4456B3"/>
    <w:rsid w:val="0CEC2F96"/>
    <w:rsid w:val="0DF4387F"/>
    <w:rsid w:val="12D5687C"/>
    <w:rsid w:val="185C461C"/>
    <w:rsid w:val="1B524FDC"/>
    <w:rsid w:val="1D603F59"/>
    <w:rsid w:val="1DA70F6A"/>
    <w:rsid w:val="1E2D7514"/>
    <w:rsid w:val="1E4F616C"/>
    <w:rsid w:val="20BD316F"/>
    <w:rsid w:val="224F7269"/>
    <w:rsid w:val="23993D46"/>
    <w:rsid w:val="28EE06B6"/>
    <w:rsid w:val="292241AB"/>
    <w:rsid w:val="2A2C6A6F"/>
    <w:rsid w:val="2AAA55F3"/>
    <w:rsid w:val="2C064D30"/>
    <w:rsid w:val="2CEF4756"/>
    <w:rsid w:val="2D3E1194"/>
    <w:rsid w:val="2E514133"/>
    <w:rsid w:val="2E6D031F"/>
    <w:rsid w:val="2F9B7CAD"/>
    <w:rsid w:val="37C26466"/>
    <w:rsid w:val="3AD273C0"/>
    <w:rsid w:val="3B457E35"/>
    <w:rsid w:val="3C934BE2"/>
    <w:rsid w:val="3EB7253A"/>
    <w:rsid w:val="3EBF3911"/>
    <w:rsid w:val="3F246025"/>
    <w:rsid w:val="3F337702"/>
    <w:rsid w:val="413A5F27"/>
    <w:rsid w:val="41FD6505"/>
    <w:rsid w:val="447946C3"/>
    <w:rsid w:val="458D714C"/>
    <w:rsid w:val="45E80806"/>
    <w:rsid w:val="48960135"/>
    <w:rsid w:val="4C440C36"/>
    <w:rsid w:val="4E254FE6"/>
    <w:rsid w:val="50846F3D"/>
    <w:rsid w:val="53227120"/>
    <w:rsid w:val="534D53DE"/>
    <w:rsid w:val="5D010FA1"/>
    <w:rsid w:val="5EDF1BC0"/>
    <w:rsid w:val="5FB53D08"/>
    <w:rsid w:val="5FE85438"/>
    <w:rsid w:val="60C157BC"/>
    <w:rsid w:val="61DD6946"/>
    <w:rsid w:val="631F4D38"/>
    <w:rsid w:val="653A0C92"/>
    <w:rsid w:val="66882EA5"/>
    <w:rsid w:val="6964459A"/>
    <w:rsid w:val="704823F5"/>
    <w:rsid w:val="704E79D0"/>
    <w:rsid w:val="72D4387A"/>
    <w:rsid w:val="758F1753"/>
    <w:rsid w:val="7683316D"/>
    <w:rsid w:val="77CD6969"/>
    <w:rsid w:val="78AE226E"/>
    <w:rsid w:val="78B25ED5"/>
    <w:rsid w:val="7A564643"/>
    <w:rsid w:val="7C61474D"/>
    <w:rsid w:val="7D150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rFonts w:ascii="等线" w:hAnsi="等线" w:eastAsia="等线"/>
      <w:sz w:val="24"/>
    </w:r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1903</Words>
  <Characters>1918</Characters>
  <Lines>14</Lines>
  <Paragraphs>4</Paragraphs>
  <TotalTime>0</TotalTime>
  <ScaleCrop>false</ScaleCrop>
  <LinksUpToDate>false</LinksUpToDate>
  <CharactersWithSpaces>2007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2020-09-07T01:01:00Z</dcterms:created>
  <dc:creator>芈 静</dc:creator>
  <cp:lastModifiedBy>徐玉哲</cp:lastModifiedBy>
  <dcterms:modified xsi:type="dcterms:W3CDTF">2023-02-20T04:55:21Z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71DFC9497C5B4651BCED846252367EA8</vt:lpwstr>
  </property>
</Properties>
</file>